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4351" w:rsidRDefault="00900A63"/>
    <w:p w:rsidR="00AE03BD" w:rsidRPr="00454E69" w:rsidRDefault="00AE03BD" w:rsidP="0094376B">
      <w:pPr>
        <w:jc w:val="both"/>
        <w:rPr>
          <w:b/>
          <w:sz w:val="20"/>
        </w:rPr>
      </w:pPr>
      <w:r w:rsidRPr="00454E69">
        <w:rPr>
          <w:b/>
          <w:sz w:val="20"/>
        </w:rPr>
        <w:t>AL PLENO DEL AYUNTAMIENTO DE PALENCIA.</w:t>
      </w:r>
    </w:p>
    <w:p w:rsidR="00AE03BD" w:rsidRPr="00454E69" w:rsidRDefault="00AE03BD" w:rsidP="0094376B">
      <w:pPr>
        <w:jc w:val="both"/>
        <w:rPr>
          <w:b/>
          <w:sz w:val="20"/>
        </w:rPr>
      </w:pPr>
    </w:p>
    <w:p w:rsidR="00AE03BD" w:rsidRPr="00454E69" w:rsidRDefault="00AE03BD" w:rsidP="0094376B">
      <w:pPr>
        <w:jc w:val="both"/>
        <w:rPr>
          <w:i/>
          <w:iCs/>
          <w:sz w:val="20"/>
          <w:szCs w:val="20"/>
        </w:rPr>
      </w:pPr>
      <w:r w:rsidRPr="00454E69">
        <w:rPr>
          <w:i/>
          <w:iCs/>
          <w:sz w:val="20"/>
          <w:szCs w:val="20"/>
        </w:rPr>
        <w:t xml:space="preserve">Don Rodrigo San Martín Franco, que actúa como portavoz del grupo municipal de Izquierda Unida-Podemos en el Ayuntamiento de Palencia, al amparo de lo dispuesto en el artículo 97.3 del Reglamento de Organización y Funcionamiento y Régimen Jurídico de las Entidades Locales, presenta al pleno corporativo la siguiente </w:t>
      </w:r>
    </w:p>
    <w:p w:rsidR="00AE03BD" w:rsidRPr="00454E69" w:rsidRDefault="00AE03BD" w:rsidP="0094376B">
      <w:pPr>
        <w:jc w:val="both"/>
        <w:rPr>
          <w:b/>
          <w:sz w:val="20"/>
        </w:rPr>
      </w:pPr>
    </w:p>
    <w:p w:rsidR="00AE03BD" w:rsidRDefault="00AE03BD" w:rsidP="0094376B">
      <w:pPr>
        <w:pStyle w:val="Default"/>
        <w:jc w:val="both"/>
        <w:rPr>
          <w:b/>
        </w:rPr>
      </w:pPr>
      <w:r>
        <w:rPr>
          <w:b/>
          <w:bCs/>
          <w:sz w:val="22"/>
          <w:szCs w:val="22"/>
        </w:rPr>
        <w:t xml:space="preserve">MOCIÓN CON MOTIVO </w:t>
      </w:r>
      <w:r w:rsidR="00936FB0">
        <w:rPr>
          <w:b/>
          <w:bCs/>
          <w:sz w:val="22"/>
          <w:szCs w:val="22"/>
        </w:rPr>
        <w:t>DE LA APLICACIÓN DEL REAL DECRETO 1093/2024, DE 22 DE OCTUBRE</w:t>
      </w:r>
      <w:r w:rsidRPr="00454E69">
        <w:rPr>
          <w:b/>
        </w:rPr>
        <w:t>.</w:t>
      </w:r>
    </w:p>
    <w:p w:rsidR="00AE03BD" w:rsidRPr="007F5258" w:rsidRDefault="00AE03BD" w:rsidP="0094376B">
      <w:pPr>
        <w:pStyle w:val="Default"/>
        <w:jc w:val="both"/>
      </w:pPr>
    </w:p>
    <w:p w:rsidR="00AE03BD" w:rsidRPr="00454E69" w:rsidRDefault="00AE03BD" w:rsidP="0094376B">
      <w:pPr>
        <w:jc w:val="both"/>
        <w:rPr>
          <w:b/>
          <w:sz w:val="20"/>
        </w:rPr>
      </w:pPr>
      <w:r w:rsidRPr="00454E69">
        <w:rPr>
          <w:b/>
          <w:sz w:val="20"/>
        </w:rPr>
        <w:t>EXPOSICIÓN DE MOTIVOS</w:t>
      </w:r>
    </w:p>
    <w:p w:rsidR="00AE03BD" w:rsidRPr="00454E69" w:rsidRDefault="00AE03BD" w:rsidP="0094376B">
      <w:pPr>
        <w:jc w:val="both"/>
        <w:rPr>
          <w:sz w:val="20"/>
        </w:rPr>
      </w:pPr>
    </w:p>
    <w:p w:rsidR="0094376B" w:rsidRDefault="0094376B" w:rsidP="0094376B">
      <w:pPr>
        <w:jc w:val="both"/>
        <w:rPr>
          <w:rFonts w:eastAsia="IBM Plex Sans"/>
          <w:sz w:val="20"/>
          <w:szCs w:val="20"/>
        </w:rPr>
      </w:pPr>
      <w:r>
        <w:rPr>
          <w:rFonts w:eastAsia="IBM Plex Sans"/>
          <w:sz w:val="20"/>
          <w:szCs w:val="20"/>
        </w:rPr>
        <w:t xml:space="preserve">El Real Decreto 1093/2024, de 22 de octubre, </w:t>
      </w:r>
      <w:r w:rsidRPr="0094376B">
        <w:rPr>
          <w:rFonts w:eastAsia="IBM Plex Sans"/>
          <w:sz w:val="20"/>
          <w:szCs w:val="20"/>
          <w:lang w:val="es-ES"/>
        </w:rPr>
        <w:t>por el que se regula la gestión de los residuos de los productos del tabaco con filtros y de los filtros comercializados para utilizarse con productos del tabaco que contengan plá</w:t>
      </w:r>
      <w:r>
        <w:rPr>
          <w:rFonts w:eastAsia="IBM Plex Sans"/>
          <w:sz w:val="20"/>
          <w:szCs w:val="20"/>
          <w:lang w:val="es-ES"/>
        </w:rPr>
        <w:t xml:space="preserve">stico y que sean de un solo uso, tiene como objetivo materializar el principio de </w:t>
      </w:r>
      <w:r w:rsidRPr="0094376B">
        <w:rPr>
          <w:rFonts w:eastAsia="IBM Plex Sans"/>
          <w:sz w:val="20"/>
          <w:szCs w:val="20"/>
        </w:rPr>
        <w:t>«quien contamina paga»</w:t>
      </w:r>
      <w:r>
        <w:rPr>
          <w:rFonts w:eastAsia="IBM Plex Sans"/>
          <w:sz w:val="20"/>
          <w:szCs w:val="20"/>
        </w:rPr>
        <w:t>, de acuerdo con la política med</w:t>
      </w:r>
      <w:r w:rsidR="00991348">
        <w:rPr>
          <w:rFonts w:eastAsia="IBM Plex Sans"/>
          <w:sz w:val="20"/>
          <w:szCs w:val="20"/>
        </w:rPr>
        <w:t xml:space="preserve">ioambiental de la Unión Europea, </w:t>
      </w:r>
      <w:r w:rsidR="00A4620F">
        <w:rPr>
          <w:rFonts w:eastAsia="IBM Plex Sans"/>
          <w:sz w:val="20"/>
          <w:szCs w:val="20"/>
        </w:rPr>
        <w:t>que indica que quien contamina debe sufragar los gastos de ejecución de las medidas de prevención y control de la contaminación impuesta</w:t>
      </w:r>
      <w:r w:rsidR="00991348">
        <w:rPr>
          <w:rFonts w:eastAsia="IBM Plex Sans"/>
          <w:sz w:val="20"/>
          <w:szCs w:val="20"/>
        </w:rPr>
        <w:t xml:space="preserve">s por las autoridades públicas </w:t>
      </w:r>
      <w:r w:rsidR="00A4620F">
        <w:rPr>
          <w:rFonts w:eastAsia="IBM Plex Sans"/>
          <w:sz w:val="20"/>
          <w:szCs w:val="20"/>
        </w:rPr>
        <w:t>para garantizar que el medio ambiente se encuentre e</w:t>
      </w:r>
      <w:r w:rsidR="004F1375">
        <w:rPr>
          <w:rFonts w:eastAsia="IBM Plex Sans"/>
          <w:sz w:val="20"/>
          <w:szCs w:val="20"/>
        </w:rPr>
        <w:t>n buen estado;</w:t>
      </w:r>
      <w:r w:rsidR="00737AF0">
        <w:rPr>
          <w:rFonts w:eastAsia="IBM Plex Sans"/>
          <w:sz w:val="20"/>
          <w:szCs w:val="20"/>
        </w:rPr>
        <w:t xml:space="preserve"> </w:t>
      </w:r>
      <w:r w:rsidR="00991348">
        <w:rPr>
          <w:rFonts w:eastAsia="IBM Plex Sans"/>
          <w:sz w:val="20"/>
          <w:szCs w:val="20"/>
        </w:rPr>
        <w:t xml:space="preserve">y </w:t>
      </w:r>
      <w:r w:rsidR="00737AF0">
        <w:rPr>
          <w:rFonts w:eastAsia="IBM Plex Sans"/>
          <w:sz w:val="20"/>
          <w:szCs w:val="20"/>
        </w:rPr>
        <w:t xml:space="preserve">es que la </w:t>
      </w:r>
      <w:r w:rsidR="00991348">
        <w:rPr>
          <w:rFonts w:eastAsia="IBM Plex Sans"/>
          <w:sz w:val="20"/>
          <w:szCs w:val="20"/>
        </w:rPr>
        <w:t>UE</w:t>
      </w:r>
      <w:r w:rsidR="00737AF0">
        <w:rPr>
          <w:rFonts w:eastAsia="IBM Plex Sans"/>
          <w:sz w:val="20"/>
          <w:szCs w:val="20"/>
        </w:rPr>
        <w:t xml:space="preserve"> </w:t>
      </w:r>
      <w:r w:rsidR="004F1375">
        <w:rPr>
          <w:rFonts w:eastAsia="IBM Plex Sans"/>
          <w:sz w:val="20"/>
          <w:szCs w:val="20"/>
        </w:rPr>
        <w:t xml:space="preserve"> </w:t>
      </w:r>
      <w:r w:rsidR="00A4620F">
        <w:rPr>
          <w:rFonts w:eastAsia="IBM Plex Sans"/>
          <w:sz w:val="20"/>
          <w:szCs w:val="20"/>
        </w:rPr>
        <w:t>persigue como fin último asegurar que toda la ciudadanía europea viva en un entorno saludable</w:t>
      </w:r>
      <w:r w:rsidR="004F1375">
        <w:rPr>
          <w:rFonts w:eastAsia="IBM Plex Sans"/>
          <w:sz w:val="20"/>
          <w:szCs w:val="20"/>
        </w:rPr>
        <w:t>.</w:t>
      </w:r>
    </w:p>
    <w:p w:rsidR="004F1375" w:rsidRDefault="004F1375" w:rsidP="0094376B">
      <w:pPr>
        <w:jc w:val="both"/>
        <w:rPr>
          <w:rFonts w:eastAsia="IBM Plex Sans"/>
          <w:sz w:val="20"/>
          <w:szCs w:val="20"/>
        </w:rPr>
      </w:pPr>
    </w:p>
    <w:p w:rsidR="004F1375" w:rsidRDefault="004F1375" w:rsidP="0094376B">
      <w:pPr>
        <w:jc w:val="both"/>
        <w:rPr>
          <w:rFonts w:eastAsia="IBM Plex Sans"/>
          <w:sz w:val="20"/>
          <w:szCs w:val="20"/>
        </w:rPr>
      </w:pPr>
      <w:r>
        <w:rPr>
          <w:rFonts w:eastAsia="IBM Plex Sans"/>
          <w:sz w:val="20"/>
          <w:szCs w:val="20"/>
        </w:rPr>
        <w:t>El Real Decreto 1093/2024, de 22 de octubre, se inspira en los Objetivos de Desarrollo Sostenible de la Organización de las Naciones Unidas, números 12 y 14 que forman parte de la Agenda 2030, adoptada por la Asamblea General de las Naciones Unidas el 25 de septiembre de 2015, relativos a garantizar modalidades de consumo y producción sostenibles</w:t>
      </w:r>
      <w:r w:rsidR="00F63B37">
        <w:rPr>
          <w:rFonts w:eastAsia="IBM Plex Sans"/>
          <w:sz w:val="20"/>
          <w:szCs w:val="20"/>
        </w:rPr>
        <w:t>,</w:t>
      </w:r>
      <w:r>
        <w:rPr>
          <w:rFonts w:eastAsia="IBM Plex Sans"/>
          <w:sz w:val="20"/>
          <w:szCs w:val="20"/>
        </w:rPr>
        <w:t xml:space="preserve"> dando lugar a la promulgación de la Directiva (UE) 2019/904, del Parlamento</w:t>
      </w:r>
      <w:r w:rsidR="00F63B37">
        <w:rPr>
          <w:rFonts w:eastAsia="IBM Plex Sans"/>
          <w:sz w:val="20"/>
          <w:szCs w:val="20"/>
        </w:rPr>
        <w:t xml:space="preserve"> Europeo y del Consejo Europeo, </w:t>
      </w:r>
      <w:r>
        <w:rPr>
          <w:rFonts w:eastAsia="IBM Plex Sans"/>
          <w:sz w:val="20"/>
          <w:szCs w:val="20"/>
        </w:rPr>
        <w:t xml:space="preserve">de 5 de junio de 2019, sobre la reducción de determinados productos de plástico que perjudican al medio </w:t>
      </w:r>
      <w:r w:rsidR="00F63B37">
        <w:rPr>
          <w:rFonts w:eastAsia="IBM Plex Sans"/>
          <w:sz w:val="20"/>
          <w:szCs w:val="20"/>
        </w:rPr>
        <w:t xml:space="preserve">ambiente, </w:t>
      </w:r>
      <w:r>
        <w:rPr>
          <w:rFonts w:eastAsia="IBM Plex Sans"/>
          <w:sz w:val="20"/>
          <w:szCs w:val="20"/>
        </w:rPr>
        <w:t>entre los que se encuentran los filtros de productos del tabaco.</w:t>
      </w:r>
    </w:p>
    <w:p w:rsidR="004F1375" w:rsidRDefault="004F1375" w:rsidP="0094376B">
      <w:pPr>
        <w:jc w:val="both"/>
        <w:rPr>
          <w:rFonts w:eastAsia="IBM Plex Sans"/>
          <w:sz w:val="20"/>
          <w:szCs w:val="20"/>
        </w:rPr>
      </w:pPr>
    </w:p>
    <w:p w:rsidR="000939BC" w:rsidRDefault="004F1375" w:rsidP="0094376B">
      <w:pPr>
        <w:jc w:val="both"/>
        <w:rPr>
          <w:rFonts w:eastAsia="IBM Plex Sans"/>
          <w:sz w:val="20"/>
          <w:szCs w:val="20"/>
        </w:rPr>
      </w:pPr>
      <w:r>
        <w:rPr>
          <w:rFonts w:eastAsia="IBM Plex Sans"/>
          <w:sz w:val="20"/>
          <w:szCs w:val="20"/>
        </w:rPr>
        <w:t>El Real Decreto 1093/2024, de 22 de octubre, contempla a lo largo de su contenido los llamados “Regímenes de Respon</w:t>
      </w:r>
      <w:r w:rsidR="00040581">
        <w:rPr>
          <w:rFonts w:eastAsia="IBM Plex Sans"/>
          <w:sz w:val="20"/>
          <w:szCs w:val="20"/>
        </w:rPr>
        <w:t>sabilidad Ampliada del Productor</w:t>
      </w:r>
      <w:r>
        <w:rPr>
          <w:rFonts w:eastAsia="IBM Plex Sans"/>
          <w:sz w:val="20"/>
          <w:szCs w:val="20"/>
        </w:rPr>
        <w:t>” para los productos del tabaco con filtros que contienen plástico y l</w:t>
      </w:r>
      <w:r w:rsidR="00F63B37">
        <w:rPr>
          <w:rFonts w:eastAsia="IBM Plex Sans"/>
          <w:sz w:val="20"/>
          <w:szCs w:val="20"/>
        </w:rPr>
        <w:t>os filtros comercializados para</w:t>
      </w:r>
      <w:r>
        <w:rPr>
          <w:rFonts w:eastAsia="IBM Plex Sans"/>
          <w:sz w:val="20"/>
          <w:szCs w:val="20"/>
        </w:rPr>
        <w:t xml:space="preserve"> utilizarse en combinación con productos del tabaco y el desarrollo de medidas de concienciación al respecto.</w:t>
      </w:r>
      <w:r w:rsidR="000939BC">
        <w:rPr>
          <w:rFonts w:eastAsia="IBM Plex Sans"/>
          <w:sz w:val="20"/>
          <w:szCs w:val="20"/>
        </w:rPr>
        <w:t xml:space="preserve"> Concretamente, a lo largo del articulado recogido en el Capítulo II del mencionado Real Decreto, se regulan las obligaciones </w:t>
      </w:r>
      <w:r w:rsidR="007C299C">
        <w:rPr>
          <w:rFonts w:eastAsia="IBM Plex Sans"/>
          <w:sz w:val="20"/>
          <w:szCs w:val="20"/>
        </w:rPr>
        <w:t>con las que debe cumplir el productor como consecuencia directa de su responsabilidad y entre ellas se encuentra el deber de “</w:t>
      </w:r>
      <w:r w:rsidR="007C299C" w:rsidRPr="007C299C">
        <w:rPr>
          <w:rFonts w:eastAsia="IBM Plex Sans"/>
          <w:i/>
          <w:sz w:val="20"/>
          <w:szCs w:val="20"/>
        </w:rPr>
        <w:t>financiar la recogida y tratamiento de los residuos de productos del tabaco con filtros y filtros</w:t>
      </w:r>
      <w:r w:rsidR="007C299C">
        <w:rPr>
          <w:rFonts w:eastAsia="IBM Plex Sans"/>
          <w:sz w:val="20"/>
          <w:szCs w:val="20"/>
        </w:rPr>
        <w:t>”, de acuerdo con lo dispuesto en el art.1</w:t>
      </w:r>
      <w:r w:rsidR="006479E7">
        <w:rPr>
          <w:rFonts w:eastAsia="IBM Plex Sans"/>
          <w:sz w:val="20"/>
          <w:szCs w:val="20"/>
        </w:rPr>
        <w:t xml:space="preserve">6.e) y en los términos previstos a lo largo del </w:t>
      </w:r>
      <w:r w:rsidR="001B7B98">
        <w:rPr>
          <w:rFonts w:eastAsia="IBM Plex Sans"/>
          <w:sz w:val="20"/>
          <w:szCs w:val="20"/>
        </w:rPr>
        <w:t>mencionado texto legal.</w:t>
      </w:r>
    </w:p>
    <w:p w:rsidR="000939BC" w:rsidRDefault="000939BC" w:rsidP="0094376B">
      <w:pPr>
        <w:jc w:val="both"/>
        <w:rPr>
          <w:rFonts w:eastAsia="IBM Plex Sans"/>
          <w:sz w:val="20"/>
          <w:szCs w:val="20"/>
        </w:rPr>
      </w:pPr>
    </w:p>
    <w:p w:rsidR="007C299C" w:rsidRDefault="001B7B98" w:rsidP="00165EBE">
      <w:pPr>
        <w:jc w:val="both"/>
        <w:rPr>
          <w:rFonts w:eastAsia="IBM Plex Sans"/>
          <w:sz w:val="20"/>
          <w:szCs w:val="20"/>
          <w:lang w:val="es-ES_tradnl"/>
        </w:rPr>
      </w:pPr>
      <w:r>
        <w:rPr>
          <w:rFonts w:eastAsia="IBM Plex Sans"/>
          <w:sz w:val="20"/>
          <w:szCs w:val="20"/>
        </w:rPr>
        <w:t>Desde Izquierda Unida-Podemos consideramos que el estudio sobre la aplicación efectiva de lo contenido en el Real Decreto 1093/2024, de 22 de octubre, resultaría b</w:t>
      </w:r>
      <w:r w:rsidR="00165EBE">
        <w:rPr>
          <w:rFonts w:eastAsia="IBM Plex Sans"/>
          <w:sz w:val="20"/>
          <w:szCs w:val="20"/>
        </w:rPr>
        <w:t>eneficioso para nuestra ciudad ya que n</w:t>
      </w:r>
      <w:r w:rsidR="00165EBE" w:rsidRPr="00165EBE">
        <w:rPr>
          <w:rFonts w:eastAsia="IBM Plex Sans"/>
          <w:sz w:val="20"/>
          <w:szCs w:val="20"/>
          <w:lang w:val="es-ES_tradnl"/>
        </w:rPr>
        <w:t>os acerca a los objetivos medioambientales dictaminado por la Unión E</w:t>
      </w:r>
      <w:r w:rsidR="00165EBE">
        <w:rPr>
          <w:rFonts w:eastAsia="IBM Plex Sans"/>
          <w:sz w:val="20"/>
          <w:szCs w:val="20"/>
          <w:lang w:val="es-ES_tradnl"/>
        </w:rPr>
        <w:t>uropea  y la Agenda 2030 y s</w:t>
      </w:r>
      <w:r w:rsidR="00165EBE" w:rsidRPr="00165EBE">
        <w:rPr>
          <w:rFonts w:eastAsia="IBM Plex Sans"/>
          <w:sz w:val="20"/>
          <w:szCs w:val="20"/>
          <w:lang w:val="es-ES_tradnl"/>
        </w:rPr>
        <w:t>upone una fuente de ingresos adicional para las arcas municipales, al no tener que continuarse costeando la gestión y tratamiento de los filtros del tabaco (que caen en la tipología de residuos conocida como “basura dispersa”).</w:t>
      </w:r>
    </w:p>
    <w:p w:rsidR="00165EBE" w:rsidRPr="00165EBE" w:rsidRDefault="00165EBE" w:rsidP="00165EBE">
      <w:pPr>
        <w:jc w:val="both"/>
        <w:rPr>
          <w:rFonts w:eastAsia="IBM Plex Sans"/>
          <w:sz w:val="20"/>
          <w:szCs w:val="20"/>
        </w:rPr>
      </w:pPr>
    </w:p>
    <w:p w:rsidR="00165EBE" w:rsidRDefault="00165EBE" w:rsidP="00165EBE">
      <w:pPr>
        <w:jc w:val="both"/>
        <w:rPr>
          <w:rFonts w:eastAsia="IBM Plex Sans"/>
          <w:sz w:val="20"/>
          <w:szCs w:val="20"/>
        </w:rPr>
      </w:pPr>
      <w:r w:rsidRPr="00165EBE">
        <w:rPr>
          <w:rFonts w:eastAsia="IBM Plex Sans"/>
          <w:sz w:val="20"/>
          <w:szCs w:val="20"/>
        </w:rPr>
        <w:lastRenderedPageBreak/>
        <w:t>A este respecto, hay que tener en cuenta que el Real Decreto 1093/20224 contempla dos fórmulas en su artículo 21 para que los sistemas de responsabilidad ampliada del productor financien la gestión y tratamiento de los filtros del tabaco:</w:t>
      </w:r>
    </w:p>
    <w:p w:rsidR="00165EBE" w:rsidRDefault="00165EBE" w:rsidP="00165EBE">
      <w:pPr>
        <w:jc w:val="both"/>
        <w:rPr>
          <w:rFonts w:eastAsia="IBM Plex Sans"/>
          <w:sz w:val="20"/>
          <w:szCs w:val="20"/>
        </w:rPr>
      </w:pPr>
    </w:p>
    <w:p w:rsidR="00165EBE" w:rsidRDefault="00165EBE" w:rsidP="00165EBE">
      <w:pPr>
        <w:pStyle w:val="Prrafodelista"/>
        <w:numPr>
          <w:ilvl w:val="0"/>
          <w:numId w:val="4"/>
        </w:numPr>
        <w:jc w:val="both"/>
        <w:rPr>
          <w:rFonts w:eastAsia="IBM Plex Sans"/>
          <w:sz w:val="20"/>
          <w:szCs w:val="20"/>
          <w:lang w:val="es-ES_tradnl"/>
        </w:rPr>
      </w:pPr>
      <w:r w:rsidRPr="00165EBE">
        <w:rPr>
          <w:rFonts w:eastAsia="IBM Plex Sans"/>
          <w:sz w:val="20"/>
          <w:szCs w:val="20"/>
          <w:lang w:val="es-ES_tradnl"/>
        </w:rPr>
        <w:t xml:space="preserve">Suscripción de un convenio entre los sistemas de responsabilidad ampliada del productor y la Comunidad Autónoma. En este caso, la Comunidad Autónoma ha de garantizar la participación de todas las entidades locales en la negociación, el seguimiento y la ejecución de las obligaciones financieras del convenio; o </w:t>
      </w:r>
      <w:bookmarkStart w:id="0" w:name="_GoBack"/>
      <w:bookmarkEnd w:id="0"/>
    </w:p>
    <w:p w:rsidR="00165EBE" w:rsidRPr="00165EBE" w:rsidRDefault="00165EBE" w:rsidP="00165EBE">
      <w:pPr>
        <w:pStyle w:val="Prrafodelista"/>
        <w:numPr>
          <w:ilvl w:val="0"/>
          <w:numId w:val="4"/>
        </w:numPr>
        <w:jc w:val="both"/>
        <w:rPr>
          <w:rFonts w:eastAsia="IBM Plex Sans"/>
          <w:sz w:val="20"/>
          <w:szCs w:val="20"/>
          <w:lang w:val="es-ES_tradnl"/>
        </w:rPr>
      </w:pPr>
      <w:r w:rsidRPr="00165EBE">
        <w:rPr>
          <w:rFonts w:eastAsia="IBM Plex Sans"/>
          <w:sz w:val="20"/>
          <w:szCs w:val="20"/>
          <w:lang w:val="es-ES_tradnl"/>
        </w:rPr>
        <w:t>Suscripción de un convenio entre la entidad local y los sistemas de responsabilidad ampliada del productor, previo conocimiento y conformidad de la Comunidad Autónoma.</w:t>
      </w:r>
    </w:p>
    <w:p w:rsidR="00165EBE" w:rsidRPr="00165EBE" w:rsidRDefault="00165EBE" w:rsidP="00165EBE">
      <w:pPr>
        <w:ind w:left="360"/>
        <w:jc w:val="both"/>
        <w:rPr>
          <w:rFonts w:eastAsia="IBM Plex Sans"/>
          <w:sz w:val="20"/>
          <w:szCs w:val="20"/>
          <w:lang w:val="es-ES_tradnl"/>
        </w:rPr>
      </w:pPr>
    </w:p>
    <w:p w:rsidR="00165EBE" w:rsidRPr="00165EBE" w:rsidRDefault="00165EBE" w:rsidP="00165EBE">
      <w:pPr>
        <w:jc w:val="both"/>
        <w:rPr>
          <w:rFonts w:eastAsia="IBM Plex Sans"/>
          <w:sz w:val="20"/>
          <w:szCs w:val="20"/>
          <w:lang w:val="es-ES_tradnl"/>
        </w:rPr>
      </w:pPr>
      <w:r w:rsidRPr="00165EBE">
        <w:rPr>
          <w:rFonts w:eastAsia="IBM Plex Sans"/>
          <w:sz w:val="20"/>
          <w:szCs w:val="20"/>
          <w:lang w:val="es-ES_tradnl"/>
        </w:rPr>
        <w:t xml:space="preserve">Asimismo, será necesario que esta entidad local realice los estudios oportunos orientados a determinar el coste total que supone a las arcas municipales la gestión de estos residuos, los filtros del tabaco, a fin de determinar la financiación exigible a los sistemas de responsabilidad ampliada del productor. Los costes totales deberán incluir los costes laborales, de personal, administrativos, de transporte, o de tratamiento, entre otros. En este sentido, consideramos oportuno que se tenga especialmente en cuenta el peso y volumen de estos residuos (p. ej. una “colilla” no pesa lo mismo ni tiene el mismo </w:t>
      </w:r>
      <w:r>
        <w:rPr>
          <w:rFonts w:eastAsia="IBM Plex Sans"/>
          <w:sz w:val="20"/>
          <w:szCs w:val="20"/>
          <w:lang w:val="es-ES_tradnl"/>
        </w:rPr>
        <w:t xml:space="preserve">volumen si está seca o mojada). </w:t>
      </w:r>
    </w:p>
    <w:p w:rsidR="007C299C" w:rsidRPr="00454E69" w:rsidRDefault="007C299C" w:rsidP="0094376B">
      <w:pPr>
        <w:jc w:val="both"/>
        <w:rPr>
          <w:sz w:val="20"/>
        </w:rPr>
      </w:pPr>
    </w:p>
    <w:p w:rsidR="00165EBE" w:rsidRDefault="00165EBE" w:rsidP="0094376B">
      <w:pPr>
        <w:jc w:val="both"/>
        <w:rPr>
          <w:b/>
          <w:bCs/>
          <w:i/>
          <w:iCs/>
          <w:sz w:val="20"/>
          <w:szCs w:val="20"/>
          <w:lang w:val="es-ES_tradnl"/>
        </w:rPr>
      </w:pPr>
    </w:p>
    <w:p w:rsidR="00AE03BD" w:rsidRPr="00454E69" w:rsidRDefault="00AE03BD" w:rsidP="0094376B">
      <w:pPr>
        <w:jc w:val="both"/>
        <w:rPr>
          <w:b/>
          <w:bCs/>
          <w:i/>
          <w:iCs/>
          <w:sz w:val="20"/>
          <w:szCs w:val="20"/>
          <w:lang w:val="es-ES_tradnl"/>
        </w:rPr>
      </w:pPr>
      <w:r w:rsidRPr="00454E69">
        <w:rPr>
          <w:b/>
          <w:bCs/>
          <w:i/>
          <w:iCs/>
          <w:sz w:val="20"/>
          <w:szCs w:val="20"/>
          <w:lang w:val="es-ES_tradnl"/>
        </w:rPr>
        <w:t>Por todo esto, el Grupo Municipal de Izquierda Unida-Podemos, propone al Pleno del Ayuntamiento, la adopción de los siguientes</w:t>
      </w:r>
    </w:p>
    <w:p w:rsidR="00AE03BD" w:rsidRPr="00454E69" w:rsidRDefault="00AE03BD" w:rsidP="0094376B">
      <w:pPr>
        <w:jc w:val="both"/>
        <w:rPr>
          <w:b/>
          <w:bCs/>
          <w:sz w:val="20"/>
          <w:szCs w:val="20"/>
          <w:lang w:val="es-ES_tradnl"/>
        </w:rPr>
      </w:pPr>
      <w:r w:rsidRPr="00454E69">
        <w:rPr>
          <w:b/>
          <w:bCs/>
          <w:sz w:val="20"/>
          <w:szCs w:val="20"/>
          <w:lang w:val="es-ES_tradnl"/>
        </w:rPr>
        <w:t>ACUERDOS</w:t>
      </w:r>
    </w:p>
    <w:p w:rsidR="00AE03BD" w:rsidRPr="00454E69" w:rsidRDefault="00AE03BD" w:rsidP="0094376B">
      <w:pPr>
        <w:jc w:val="both"/>
        <w:rPr>
          <w:b/>
          <w:bCs/>
          <w:sz w:val="20"/>
          <w:szCs w:val="20"/>
          <w:lang w:val="es-ES_tradnl"/>
        </w:rPr>
      </w:pPr>
    </w:p>
    <w:p w:rsidR="00AE03BD" w:rsidRPr="00165EBE" w:rsidRDefault="00AE03BD" w:rsidP="0094376B">
      <w:pPr>
        <w:jc w:val="both"/>
        <w:rPr>
          <w:rFonts w:eastAsia="IBM Plex Sans"/>
          <w:sz w:val="20"/>
          <w:szCs w:val="20"/>
          <w:lang w:val="es-ES_tradnl"/>
        </w:rPr>
      </w:pPr>
      <w:r w:rsidRPr="00454E69">
        <w:rPr>
          <w:b/>
          <w:sz w:val="20"/>
          <w:szCs w:val="20"/>
          <w:u w:val="single"/>
        </w:rPr>
        <w:t>PRIMERO:</w:t>
      </w:r>
      <w:r w:rsidR="00C14865">
        <w:rPr>
          <w:rFonts w:eastAsia="IBM Plex Sans"/>
          <w:sz w:val="20"/>
          <w:szCs w:val="20"/>
        </w:rPr>
        <w:t xml:space="preserve"> </w:t>
      </w:r>
      <w:r w:rsidR="00165EBE" w:rsidRPr="00165EBE">
        <w:rPr>
          <w:rFonts w:eastAsia="IBM Plex Sans"/>
          <w:sz w:val="20"/>
          <w:szCs w:val="20"/>
          <w:lang w:val="es-ES_tradnl"/>
        </w:rPr>
        <w:t xml:space="preserve">Que se proceda a hacer un estudio financiero del coste total que supone a las arcas municipales la gestión y tratamiento de los filtros del tabaco a fin de determinar el alcance de la contribución financiera de los sistemas de responsabilidad ampliada a nuestra Entidad Local. </w:t>
      </w:r>
    </w:p>
    <w:p w:rsidR="00AE03BD" w:rsidRPr="00454E69" w:rsidRDefault="00AE03BD" w:rsidP="0094376B">
      <w:pPr>
        <w:jc w:val="both"/>
        <w:rPr>
          <w:b/>
          <w:sz w:val="20"/>
          <w:szCs w:val="20"/>
          <w:u w:val="single"/>
        </w:rPr>
      </w:pPr>
    </w:p>
    <w:p w:rsidR="00AE03BD" w:rsidRPr="00454E69" w:rsidRDefault="00AE03BD" w:rsidP="0094376B">
      <w:pPr>
        <w:jc w:val="both"/>
        <w:rPr>
          <w:rFonts w:eastAsia="IBM Plex Sans"/>
          <w:sz w:val="20"/>
          <w:szCs w:val="20"/>
        </w:rPr>
      </w:pPr>
      <w:r w:rsidRPr="00454E69">
        <w:rPr>
          <w:b/>
          <w:sz w:val="20"/>
          <w:szCs w:val="20"/>
          <w:u w:val="single"/>
        </w:rPr>
        <w:t>SEGUNDO:</w:t>
      </w:r>
      <w:r w:rsidRPr="00454E69">
        <w:rPr>
          <w:sz w:val="20"/>
          <w:szCs w:val="20"/>
        </w:rPr>
        <w:t xml:space="preserve"> </w:t>
      </w:r>
      <w:r w:rsidR="00165EBE" w:rsidRPr="00165EBE">
        <w:rPr>
          <w:sz w:val="20"/>
          <w:szCs w:val="20"/>
          <w:lang w:val="es-ES_tradnl"/>
        </w:rPr>
        <w:t>Que se identifique a los diferentes sistemas de responsabilidad ampliada del productor existentes en España con quienes deberá suscribirse el convenio o los convenios previstos en el artículo 21 del Real Decreto 1093/2024.</w:t>
      </w:r>
    </w:p>
    <w:p w:rsidR="00AE03BD" w:rsidRPr="00454E69" w:rsidRDefault="00AE03BD" w:rsidP="0094376B">
      <w:pPr>
        <w:jc w:val="both"/>
        <w:rPr>
          <w:sz w:val="20"/>
          <w:szCs w:val="20"/>
        </w:rPr>
      </w:pPr>
    </w:p>
    <w:p w:rsidR="00AE03BD" w:rsidRPr="00165EBE" w:rsidRDefault="00AE03BD" w:rsidP="0094376B">
      <w:pPr>
        <w:jc w:val="both"/>
        <w:rPr>
          <w:sz w:val="20"/>
          <w:szCs w:val="20"/>
          <w:lang w:val="es-ES_tradnl"/>
        </w:rPr>
      </w:pPr>
      <w:r w:rsidRPr="00454E69">
        <w:rPr>
          <w:b/>
          <w:sz w:val="20"/>
          <w:szCs w:val="20"/>
          <w:u w:val="single"/>
        </w:rPr>
        <w:t>TERCERO</w:t>
      </w:r>
      <w:r w:rsidRPr="00454E69">
        <w:rPr>
          <w:sz w:val="20"/>
          <w:szCs w:val="20"/>
        </w:rPr>
        <w:t xml:space="preserve">: </w:t>
      </w:r>
      <w:r w:rsidR="00165EBE" w:rsidRPr="00165EBE">
        <w:rPr>
          <w:sz w:val="20"/>
          <w:szCs w:val="20"/>
          <w:lang w:val="es-ES_tradnl"/>
        </w:rPr>
        <w:t xml:space="preserve">Que se inicien los trámites oportunos con la Administración autonómica, bien para instar a ésta a que sea ella quien suscriba el convenio con los sistemas de responsabilidad ampliada del productor, bien para que autorice al Ayuntamiento de Palencia a suscribir el convenio de manera directa con el sistema o los sistemas de responsabilidad ampliada del productor obligados a financiar el coste de gestionar y tratar estos residuos. </w:t>
      </w:r>
    </w:p>
    <w:p w:rsidR="00AE03BD" w:rsidRPr="00454E69" w:rsidRDefault="00AE03BD" w:rsidP="0094376B">
      <w:pPr>
        <w:jc w:val="both"/>
        <w:rPr>
          <w:sz w:val="20"/>
          <w:szCs w:val="20"/>
        </w:rPr>
      </w:pPr>
    </w:p>
    <w:p w:rsidR="00165EBE" w:rsidRPr="00165EBE" w:rsidRDefault="00AE03BD" w:rsidP="00165EBE">
      <w:pPr>
        <w:jc w:val="both"/>
        <w:rPr>
          <w:rFonts w:eastAsia="IBM Plex Sans"/>
          <w:sz w:val="20"/>
          <w:szCs w:val="20"/>
          <w:lang w:val="es-ES_tradnl"/>
        </w:rPr>
      </w:pPr>
      <w:r w:rsidRPr="00454E69">
        <w:rPr>
          <w:rFonts w:eastAsia="IBM Plex Sans"/>
          <w:b/>
          <w:sz w:val="20"/>
          <w:szCs w:val="20"/>
          <w:u w:val="single"/>
        </w:rPr>
        <w:t>CUARTO:</w:t>
      </w:r>
      <w:r w:rsidRPr="00454E69">
        <w:rPr>
          <w:rFonts w:eastAsia="IBM Plex Sans"/>
          <w:sz w:val="20"/>
          <w:szCs w:val="20"/>
        </w:rPr>
        <w:t xml:space="preserve"> </w:t>
      </w:r>
      <w:r w:rsidR="00165EBE" w:rsidRPr="00165EBE">
        <w:rPr>
          <w:rFonts w:eastAsia="IBM Plex Sans"/>
          <w:sz w:val="20"/>
          <w:szCs w:val="20"/>
          <w:lang w:val="es-ES_tradnl"/>
        </w:rPr>
        <w:t xml:space="preserve">Que se garantice la aplicación retroactiva del convenio o los convenios que finalmente se suscriban, de conformidad con lo dispuesto en la disposición transitoria primera del Real Decreto 1093/2024 que dispone que </w:t>
      </w:r>
      <w:r w:rsidR="00165EBE">
        <w:rPr>
          <w:rFonts w:eastAsia="IBM Plex Sans"/>
          <w:i/>
          <w:iCs/>
          <w:sz w:val="20"/>
          <w:szCs w:val="20"/>
          <w:lang w:val="es-ES_tradnl"/>
        </w:rPr>
        <w:t>“l</w:t>
      </w:r>
      <w:r w:rsidR="00165EBE" w:rsidRPr="00165EBE">
        <w:rPr>
          <w:rFonts w:eastAsia="IBM Plex Sans"/>
          <w:i/>
          <w:iCs/>
          <w:sz w:val="20"/>
          <w:szCs w:val="20"/>
          <w:lang w:val="es-ES_tradnl"/>
        </w:rPr>
        <w:t>as responsabilidades financieras de los sistemas de responsabilidad ampliada del productor reguladas en este real decreto serán de aplicación desde su entrada en vigor. Estas aportaciones se contemplarán en los convenios señalados en el artículo 21 con carácter retroactivo”</w:t>
      </w:r>
      <w:r w:rsidR="00165EBE" w:rsidRPr="00165EBE">
        <w:rPr>
          <w:rFonts w:eastAsia="IBM Plex Sans"/>
          <w:sz w:val="20"/>
          <w:szCs w:val="20"/>
          <w:lang w:val="es-ES_tradnl"/>
        </w:rPr>
        <w:t>.</w:t>
      </w:r>
    </w:p>
    <w:p w:rsidR="00165EBE" w:rsidRDefault="00165EBE" w:rsidP="00165EBE">
      <w:pPr>
        <w:jc w:val="both"/>
        <w:rPr>
          <w:sz w:val="20"/>
          <w:szCs w:val="20"/>
        </w:rPr>
      </w:pPr>
    </w:p>
    <w:p w:rsidR="00165EBE" w:rsidRDefault="00165EBE" w:rsidP="00165EBE">
      <w:pPr>
        <w:jc w:val="both"/>
        <w:rPr>
          <w:sz w:val="20"/>
          <w:szCs w:val="20"/>
        </w:rPr>
      </w:pPr>
    </w:p>
    <w:p w:rsidR="00AE03BD" w:rsidRPr="00454E69" w:rsidRDefault="00AE03BD" w:rsidP="00165EBE">
      <w:pPr>
        <w:jc w:val="both"/>
        <w:rPr>
          <w:sz w:val="20"/>
          <w:szCs w:val="20"/>
        </w:rPr>
      </w:pPr>
      <w:r w:rsidRPr="00454E69">
        <w:rPr>
          <w:sz w:val="20"/>
          <w:szCs w:val="20"/>
        </w:rPr>
        <w:t>En Palencia, a 11 de noviembre de 2024.</w:t>
      </w:r>
    </w:p>
    <w:p w:rsidR="00AE03BD" w:rsidRPr="00454E69" w:rsidRDefault="00AE03BD" w:rsidP="00AE03BD">
      <w:pPr>
        <w:ind w:left="720" w:hanging="720"/>
        <w:jc w:val="both"/>
        <w:rPr>
          <w:sz w:val="20"/>
          <w:szCs w:val="20"/>
        </w:rPr>
      </w:pPr>
    </w:p>
    <w:p w:rsidR="00165EBE" w:rsidRDefault="00165EBE" w:rsidP="00AE03BD">
      <w:pPr>
        <w:ind w:left="720" w:hanging="720"/>
        <w:jc w:val="center"/>
        <w:rPr>
          <w:sz w:val="20"/>
          <w:szCs w:val="20"/>
        </w:rPr>
      </w:pPr>
    </w:p>
    <w:p w:rsidR="00AE03BD" w:rsidRPr="00454E69" w:rsidRDefault="00AE03BD" w:rsidP="00AE03BD">
      <w:pPr>
        <w:ind w:left="720" w:hanging="720"/>
        <w:jc w:val="center"/>
        <w:rPr>
          <w:sz w:val="20"/>
          <w:szCs w:val="20"/>
        </w:rPr>
      </w:pPr>
      <w:r w:rsidRPr="00454E69">
        <w:rPr>
          <w:sz w:val="20"/>
          <w:szCs w:val="20"/>
        </w:rPr>
        <w:t>Fdo.: Rodrigo San Martín Franco.</w:t>
      </w:r>
    </w:p>
    <w:p w:rsidR="00AE03BD" w:rsidRPr="00454E69" w:rsidRDefault="00AE03BD" w:rsidP="00AE03BD">
      <w:pPr>
        <w:ind w:left="720" w:hanging="720"/>
        <w:jc w:val="center"/>
        <w:rPr>
          <w:sz w:val="20"/>
          <w:szCs w:val="20"/>
        </w:rPr>
      </w:pPr>
      <w:r w:rsidRPr="00454E69">
        <w:rPr>
          <w:noProof/>
          <w:sz w:val="20"/>
          <w:szCs w:val="20"/>
          <w:lang w:val="es-ES" w:eastAsia="es-ES"/>
        </w:rPr>
        <w:drawing>
          <wp:inline distT="0" distB="0" distL="0" distR="0">
            <wp:extent cx="1561465" cy="698500"/>
            <wp:effectExtent l="0" t="0" r="63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7">
                      <a:extLst>
                        <a:ext uri="{28A0092B-C50C-407E-A947-70E740481C1C}">
                          <a14:useLocalDpi xmlns:a14="http://schemas.microsoft.com/office/drawing/2010/main" val="0"/>
                        </a:ext>
                      </a:extLst>
                    </a:blip>
                    <a:srcRect b="36424"/>
                    <a:stretch>
                      <a:fillRect/>
                    </a:stretch>
                  </pic:blipFill>
                  <pic:spPr bwMode="auto">
                    <a:xfrm>
                      <a:off x="0" y="0"/>
                      <a:ext cx="1561465" cy="698500"/>
                    </a:xfrm>
                    <a:prstGeom prst="rect">
                      <a:avLst/>
                    </a:prstGeom>
                    <a:noFill/>
                    <a:ln>
                      <a:noFill/>
                    </a:ln>
                  </pic:spPr>
                </pic:pic>
              </a:graphicData>
            </a:graphic>
          </wp:inline>
        </w:drawing>
      </w:r>
    </w:p>
    <w:p w:rsidR="00AE03BD" w:rsidRPr="00454E69" w:rsidRDefault="00AE03BD" w:rsidP="00AE03BD">
      <w:pPr>
        <w:jc w:val="center"/>
        <w:rPr>
          <w:sz w:val="20"/>
        </w:rPr>
      </w:pPr>
      <w:r w:rsidRPr="00454E69">
        <w:rPr>
          <w:sz w:val="20"/>
          <w:szCs w:val="20"/>
        </w:rPr>
        <w:t>Concejal Portavoz del Grupo Municipal de Izquierda Unida.</w:t>
      </w:r>
    </w:p>
    <w:p w:rsidR="00AE03BD" w:rsidRDefault="00AE03BD"/>
    <w:sectPr w:rsidR="00AE03BD">
      <w:head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0A63" w:rsidRDefault="00900A63" w:rsidP="00AE03BD">
      <w:pPr>
        <w:spacing w:line="240" w:lineRule="auto"/>
      </w:pPr>
      <w:r>
        <w:separator/>
      </w:r>
    </w:p>
  </w:endnote>
  <w:endnote w:type="continuationSeparator" w:id="0">
    <w:p w:rsidR="00900A63" w:rsidRDefault="00900A63" w:rsidP="00AE03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IBM Plex Sans">
    <w:altName w:val="Arial"/>
    <w:panose1 w:val="00000000000000000000"/>
    <w:charset w:val="00"/>
    <w:family w:val="swiss"/>
    <w:notTrueType/>
    <w:pitch w:val="variable"/>
    <w:sig w:usb0="00000001" w:usb1="5000207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0A63" w:rsidRDefault="00900A63" w:rsidP="00AE03BD">
      <w:pPr>
        <w:spacing w:line="240" w:lineRule="auto"/>
      </w:pPr>
      <w:r>
        <w:separator/>
      </w:r>
    </w:p>
  </w:footnote>
  <w:footnote w:type="continuationSeparator" w:id="0">
    <w:p w:rsidR="00900A63" w:rsidRDefault="00900A63" w:rsidP="00AE03B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03BD" w:rsidRDefault="00AE03BD">
    <w:pPr>
      <w:pStyle w:val="Encabezado"/>
    </w:pPr>
    <w:r w:rsidRPr="00454E69">
      <w:rPr>
        <w:rFonts w:ascii="Calibri" w:eastAsia="Calibri" w:hAnsi="Calibri" w:cs="Times New Roman"/>
        <w:noProof/>
        <w:lang w:eastAsia="es-ES"/>
      </w:rPr>
      <w:drawing>
        <wp:inline distT="0" distB="0" distL="0" distR="0">
          <wp:extent cx="1561465" cy="1009015"/>
          <wp:effectExtent l="0" t="0" r="635" b="63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1465" cy="100901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2257FD"/>
    <w:multiLevelType w:val="hybridMultilevel"/>
    <w:tmpl w:val="B6568CE6"/>
    <w:styleLink w:val="Letra"/>
    <w:lvl w:ilvl="0" w:tplc="F53813C4">
      <w:start w:val="1"/>
      <w:numFmt w:val="lowerRoman"/>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7F4C57C">
      <w:start w:val="1"/>
      <w:numFmt w:val="lowerRoman"/>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DCA4F9D2">
      <w:start w:val="1"/>
      <w:numFmt w:val="lowerRoman"/>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8DA22678">
      <w:start w:val="1"/>
      <w:numFmt w:val="lowerRoman"/>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3AE6E5BC">
      <w:start w:val="1"/>
      <w:numFmt w:val="lowerRoman"/>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C9E4AF0">
      <w:start w:val="1"/>
      <w:numFmt w:val="lowerRoman"/>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70A4A3E8">
      <w:start w:val="1"/>
      <w:numFmt w:val="lowerRoman"/>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8A649616">
      <w:start w:val="1"/>
      <w:numFmt w:val="lowerRoman"/>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9561FB2">
      <w:start w:val="1"/>
      <w:numFmt w:val="lowerRoman"/>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54174709"/>
    <w:multiLevelType w:val="hybridMultilevel"/>
    <w:tmpl w:val="F1387B7E"/>
    <w:lvl w:ilvl="0" w:tplc="0C0A001B">
      <w:start w:val="1"/>
      <w:numFmt w:val="lowerRoman"/>
      <w:lvlText w:val="%1."/>
      <w:lvlJc w:val="righ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 w15:restartNumberingAfterBreak="0">
    <w:nsid w:val="65135367"/>
    <w:multiLevelType w:val="hybridMultilevel"/>
    <w:tmpl w:val="851E6966"/>
    <w:lvl w:ilvl="0" w:tplc="EF6821CE">
      <w:start w:val="1"/>
      <w:numFmt w:val="upperRoman"/>
      <w:lvlText w:val="(%1)"/>
      <w:lvlJc w:val="left"/>
      <w:pPr>
        <w:ind w:left="720" w:hanging="360"/>
      </w:pPr>
      <w:rPr>
        <w:rFonts w:ascii="Arial" w:eastAsia="IBM Plex Sans" w:hAnsi="Arial" w:cs="Arial"/>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78F23C0D"/>
    <w:multiLevelType w:val="hybridMultilevel"/>
    <w:tmpl w:val="B6568CE6"/>
    <w:numStyleLink w:val="Letra"/>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03BD"/>
    <w:rsid w:val="0001797A"/>
    <w:rsid w:val="00040581"/>
    <w:rsid w:val="000939BC"/>
    <w:rsid w:val="00165EBE"/>
    <w:rsid w:val="001B7B98"/>
    <w:rsid w:val="00284782"/>
    <w:rsid w:val="003565F1"/>
    <w:rsid w:val="00360CA5"/>
    <w:rsid w:val="004057F5"/>
    <w:rsid w:val="004F1375"/>
    <w:rsid w:val="0053528E"/>
    <w:rsid w:val="00580AB3"/>
    <w:rsid w:val="005A71B7"/>
    <w:rsid w:val="00626DC4"/>
    <w:rsid w:val="006479E7"/>
    <w:rsid w:val="00662C60"/>
    <w:rsid w:val="00737AF0"/>
    <w:rsid w:val="007C299C"/>
    <w:rsid w:val="00900A63"/>
    <w:rsid w:val="00936FB0"/>
    <w:rsid w:val="0094376B"/>
    <w:rsid w:val="00991348"/>
    <w:rsid w:val="00A4620F"/>
    <w:rsid w:val="00AE03BD"/>
    <w:rsid w:val="00C14865"/>
    <w:rsid w:val="00DC3E2E"/>
    <w:rsid w:val="00E41138"/>
    <w:rsid w:val="00F63B3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F83D6D-ADC1-4EA1-9F59-590BD2A68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03BD"/>
    <w:pPr>
      <w:spacing w:after="0" w:line="276" w:lineRule="auto"/>
    </w:pPr>
    <w:rPr>
      <w:rFonts w:ascii="Arial" w:eastAsia="Arial" w:hAnsi="Arial" w:cs="Arial"/>
      <w:lang w:val="es" w:eastAsia="es-ES_tradnl"/>
    </w:rPr>
  </w:style>
  <w:style w:type="paragraph" w:styleId="Ttulo3">
    <w:name w:val="heading 3"/>
    <w:basedOn w:val="Normal"/>
    <w:next w:val="Normal"/>
    <w:link w:val="Ttulo3Car"/>
    <w:uiPriority w:val="9"/>
    <w:semiHidden/>
    <w:unhideWhenUsed/>
    <w:qFormat/>
    <w:rsid w:val="0094376B"/>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E03BD"/>
    <w:pPr>
      <w:tabs>
        <w:tab w:val="center" w:pos="4252"/>
        <w:tab w:val="right" w:pos="8504"/>
      </w:tabs>
      <w:spacing w:line="240" w:lineRule="auto"/>
    </w:pPr>
    <w:rPr>
      <w:rFonts w:asciiTheme="minorHAnsi" w:eastAsiaTheme="minorHAnsi" w:hAnsiTheme="minorHAnsi" w:cstheme="minorBidi"/>
      <w:lang w:val="es-ES" w:eastAsia="en-US"/>
    </w:rPr>
  </w:style>
  <w:style w:type="character" w:customStyle="1" w:styleId="EncabezadoCar">
    <w:name w:val="Encabezado Car"/>
    <w:basedOn w:val="Fuentedeprrafopredeter"/>
    <w:link w:val="Encabezado"/>
    <w:uiPriority w:val="99"/>
    <w:rsid w:val="00AE03BD"/>
  </w:style>
  <w:style w:type="paragraph" w:styleId="Piedepgina">
    <w:name w:val="footer"/>
    <w:basedOn w:val="Normal"/>
    <w:link w:val="PiedepginaCar"/>
    <w:uiPriority w:val="99"/>
    <w:unhideWhenUsed/>
    <w:rsid w:val="00AE03BD"/>
    <w:pPr>
      <w:tabs>
        <w:tab w:val="center" w:pos="4252"/>
        <w:tab w:val="right" w:pos="8504"/>
      </w:tabs>
      <w:spacing w:line="240" w:lineRule="auto"/>
    </w:pPr>
    <w:rPr>
      <w:rFonts w:asciiTheme="minorHAnsi" w:eastAsiaTheme="minorHAnsi" w:hAnsiTheme="minorHAnsi" w:cstheme="minorBidi"/>
      <w:lang w:val="es-ES" w:eastAsia="en-US"/>
    </w:rPr>
  </w:style>
  <w:style w:type="character" w:customStyle="1" w:styleId="PiedepginaCar">
    <w:name w:val="Pie de página Car"/>
    <w:basedOn w:val="Fuentedeprrafopredeter"/>
    <w:link w:val="Piedepgina"/>
    <w:uiPriority w:val="99"/>
    <w:rsid w:val="00AE03BD"/>
  </w:style>
  <w:style w:type="paragraph" w:customStyle="1" w:styleId="Default">
    <w:name w:val="Default"/>
    <w:rsid w:val="00AE03BD"/>
    <w:pPr>
      <w:autoSpaceDE w:val="0"/>
      <w:autoSpaceDN w:val="0"/>
      <w:adjustRightInd w:val="0"/>
      <w:spacing w:after="0" w:line="240" w:lineRule="auto"/>
    </w:pPr>
    <w:rPr>
      <w:rFonts w:ascii="Arial" w:eastAsia="Arial" w:hAnsi="Arial" w:cs="Arial"/>
      <w:color w:val="000000"/>
      <w:sz w:val="24"/>
      <w:szCs w:val="24"/>
      <w:lang w:eastAsia="es-ES"/>
    </w:rPr>
  </w:style>
  <w:style w:type="character" w:customStyle="1" w:styleId="Ttulo3Car">
    <w:name w:val="Título 3 Car"/>
    <w:basedOn w:val="Fuentedeprrafopredeter"/>
    <w:link w:val="Ttulo3"/>
    <w:uiPriority w:val="9"/>
    <w:semiHidden/>
    <w:rsid w:val="0094376B"/>
    <w:rPr>
      <w:rFonts w:asciiTheme="majorHAnsi" w:eastAsiaTheme="majorEastAsia" w:hAnsiTheme="majorHAnsi" w:cstheme="majorBidi"/>
      <w:color w:val="1F4D78" w:themeColor="accent1" w:themeShade="7F"/>
      <w:sz w:val="24"/>
      <w:szCs w:val="24"/>
      <w:lang w:val="es" w:eastAsia="es-ES_tradnl"/>
    </w:rPr>
  </w:style>
  <w:style w:type="paragraph" w:styleId="Prrafodelista">
    <w:name w:val="List Paragraph"/>
    <w:basedOn w:val="Normal"/>
    <w:uiPriority w:val="34"/>
    <w:qFormat/>
    <w:rsid w:val="00165EBE"/>
    <w:pPr>
      <w:ind w:left="720"/>
      <w:contextualSpacing/>
    </w:pPr>
  </w:style>
  <w:style w:type="numbering" w:customStyle="1" w:styleId="Letra">
    <w:name w:val="Letra"/>
    <w:rsid w:val="00165EBE"/>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1212121">
      <w:bodyDiv w:val="1"/>
      <w:marLeft w:val="0"/>
      <w:marRight w:val="0"/>
      <w:marTop w:val="0"/>
      <w:marBottom w:val="0"/>
      <w:divBdr>
        <w:top w:val="none" w:sz="0" w:space="0" w:color="auto"/>
        <w:left w:val="none" w:sz="0" w:space="0" w:color="auto"/>
        <w:bottom w:val="none" w:sz="0" w:space="0" w:color="auto"/>
        <w:right w:val="none" w:sz="0" w:space="0" w:color="auto"/>
      </w:divBdr>
    </w:div>
    <w:div w:id="1818952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3</Pages>
  <Words>968</Words>
  <Characters>5328</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 Podemos</dc:creator>
  <cp:keywords/>
  <dc:description/>
  <cp:lastModifiedBy>IU Podemos</cp:lastModifiedBy>
  <cp:revision>17</cp:revision>
  <dcterms:created xsi:type="dcterms:W3CDTF">2024-11-11T11:09:00Z</dcterms:created>
  <dcterms:modified xsi:type="dcterms:W3CDTF">2024-11-13T12:00:00Z</dcterms:modified>
</cp:coreProperties>
</file>